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emf" ContentType="image/x-emf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5D1" w:rsidRPr="000479E2" w:rsidRDefault="00DE65D1" w:rsidP="00DE65D1">
      <w:pPr>
        <w:spacing w:line="240" w:lineRule="auto"/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4724400</wp:posOffset>
            </wp:positionH>
            <wp:positionV relativeFrom="paragraph">
              <wp:posOffset>-800100</wp:posOffset>
            </wp:positionV>
            <wp:extent cx="2124075" cy="714375"/>
            <wp:effectExtent l="1905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4251" w:rsidRPr="000479E2">
        <w:rPr>
          <w:b/>
          <w:sz w:val="36"/>
          <w:szCs w:val="36"/>
        </w:rPr>
        <w:t>Organization of the Standards</w:t>
      </w:r>
    </w:p>
    <w:p w:rsidR="00BC74A0" w:rsidRDefault="007A4251" w:rsidP="000479E2">
      <w:pPr>
        <w:spacing w:line="240" w:lineRule="auto"/>
      </w:pPr>
      <w:r>
        <w:t xml:space="preserve">The organization of the Iowa Core Standards in Literacy and Mathematics is not the same. </w:t>
      </w:r>
    </w:p>
    <w:p w:rsidR="007A4251" w:rsidRDefault="007A4251" w:rsidP="00CC6DDC">
      <w:pPr>
        <w:spacing w:line="240" w:lineRule="auto"/>
      </w:pPr>
      <w:r w:rsidRPr="00E17DFE">
        <w:rPr>
          <w:b/>
          <w:sz w:val="36"/>
          <w:szCs w:val="36"/>
        </w:rPr>
        <w:t>Literacy</w:t>
      </w:r>
      <w:r w:rsidRPr="00E17DFE">
        <w:rPr>
          <w:sz w:val="36"/>
          <w:szCs w:val="36"/>
        </w:rPr>
        <w:t xml:space="preserve"> </w:t>
      </w:r>
      <w:r>
        <w:t xml:space="preserve">is described through two sections: a K-5 section and a 6-12 section. Each section is divided into strands. K-5 and 6-12 have </w:t>
      </w:r>
      <w:r w:rsidRPr="00CC6DDC">
        <w:rPr>
          <w:b/>
        </w:rPr>
        <w:t>Reading, Writing, Speaking and Listening, and Language</w:t>
      </w:r>
      <w:r>
        <w:t xml:space="preserve"> strands; the 6-12 history/social studies, science, and technical subjects section focuses on Reading and Writing. Each strand is headed by a strand-specific set of </w:t>
      </w:r>
      <w:r w:rsidRPr="00CC6DDC">
        <w:rPr>
          <w:b/>
        </w:rPr>
        <w:t>College and Career Readiness Anchor Standards</w:t>
      </w:r>
      <w:r>
        <w:t xml:space="preserve"> that is identical across all grades. Each College and Career Readiness Standard has an accompanying grade- or grade span-specific standard that identifies the grade- or span-appropriate end-of-year expectation.</w:t>
      </w:r>
    </w:p>
    <w:p w:rsidR="007A4251" w:rsidRPr="007A4251" w:rsidRDefault="005F09CA" w:rsidP="007A4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In Literacy, the format looks like this</w:t>
      </w:r>
      <w:r w:rsidR="007A4251" w:rsidRPr="007A4251">
        <w:rPr>
          <w:b/>
        </w:rPr>
        <w:t>…</w:t>
      </w:r>
    </w:p>
    <w:p w:rsidR="007A4251" w:rsidRDefault="00E17DFE" w:rsidP="007A4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</w:rPr>
        <w:t>Strand</w:t>
      </w:r>
    </w:p>
    <w:p w:rsidR="007A4251" w:rsidRDefault="007A4251" w:rsidP="007A4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ab/>
        <w:t>Colleg</w:t>
      </w:r>
      <w:r w:rsidR="00E17DFE">
        <w:t>e and Career Readiness Standard</w:t>
      </w:r>
    </w:p>
    <w:p w:rsidR="007A4251" w:rsidRDefault="007A4251" w:rsidP="007A4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ab/>
      </w:r>
      <w:r>
        <w:tab/>
        <w:t>Grade (K-8) or grade-span (9-10 and 11-12) specific standard</w:t>
      </w:r>
    </w:p>
    <w:p w:rsidR="00E17DFE" w:rsidRDefault="007A4251" w:rsidP="00CC6DDC">
      <w:pPr>
        <w:spacing w:line="240" w:lineRule="auto"/>
      </w:pPr>
      <w:r w:rsidRPr="00E17DFE">
        <w:rPr>
          <w:b/>
          <w:sz w:val="36"/>
          <w:szCs w:val="36"/>
        </w:rPr>
        <w:t>Mathematics</w:t>
      </w:r>
      <w:r>
        <w:rPr>
          <w:b/>
        </w:rPr>
        <w:t xml:space="preserve"> </w:t>
      </w:r>
      <w:r w:rsidR="00E755AD">
        <w:t xml:space="preserve">is described through three types of standards: Standards for Mathematical Practice that cover grades K through 12, grade-specific standards in K-8, and conceptual category standards in 9-12. </w:t>
      </w:r>
    </w:p>
    <w:p w:rsidR="00E17DFE" w:rsidRPr="00CC6DDC" w:rsidRDefault="00E17DFE" w:rsidP="00CC6DDC">
      <w:pPr>
        <w:pBdr>
          <w:top w:val="single" w:sz="4" w:space="1" w:color="auto"/>
          <w:left w:val="single" w:sz="4" w:space="1" w:color="auto"/>
          <w:right w:val="single" w:sz="4" w:space="4" w:color="auto"/>
        </w:pBdr>
        <w:spacing w:line="240" w:lineRule="auto"/>
        <w:rPr>
          <w:b/>
        </w:rPr>
        <w:sectPr w:rsidR="00E17DFE" w:rsidRPr="00CC6DDC">
          <w:pgSz w:w="12240" w:h="15840"/>
          <w:pgMar w:top="1440" w:right="1440" w:bottom="1440" w:left="1440" w:gutter="0"/>
          <w:docGrid w:linePitch="360"/>
        </w:sectPr>
      </w:pPr>
      <w:r>
        <w:rPr>
          <w:b/>
        </w:rPr>
        <w:t>In Mathema</w:t>
      </w:r>
      <w:r w:rsidR="00CC6DDC">
        <w:rPr>
          <w:b/>
        </w:rPr>
        <w:t>tics, the format looks like this…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CC6DDC">
        <w:tc>
          <w:tcPr>
            <w:tcW w:w="4788" w:type="dxa"/>
          </w:tcPr>
          <w:p w:rsidR="00CC6DDC" w:rsidRDefault="00CC6DDC" w:rsidP="00CC6DDC">
            <w:pPr>
              <w:pBdr>
                <w:left w:val="single" w:sz="4" w:space="1" w:color="auto"/>
                <w:right w:val="single" w:sz="4" w:space="4" w:color="auto"/>
              </w:pBdr>
              <w:rPr>
                <w:b/>
              </w:rPr>
            </w:pPr>
            <w:r>
              <w:rPr>
                <w:b/>
              </w:rPr>
              <w:t>K-8</w:t>
            </w:r>
          </w:p>
          <w:p w:rsidR="00CC6DDC" w:rsidRDefault="00CC6DDC" w:rsidP="00CC6DDC">
            <w:pPr>
              <w:pBdr>
                <w:left w:val="single" w:sz="4" w:space="1" w:color="auto"/>
                <w:right w:val="single" w:sz="4" w:space="4" w:color="auto"/>
              </w:pBdr>
              <w:rPr>
                <w:b/>
              </w:rPr>
            </w:pPr>
          </w:p>
        </w:tc>
        <w:tc>
          <w:tcPr>
            <w:tcW w:w="4788" w:type="dxa"/>
            <w:tcBorders>
              <w:right w:val="single" w:sz="4" w:space="0" w:color="auto"/>
            </w:tcBorders>
          </w:tcPr>
          <w:p w:rsidR="00CC6DDC" w:rsidRDefault="00CC6DDC" w:rsidP="00CC6DDC">
            <w:pPr>
              <w:pBdr>
                <w:left w:val="single" w:sz="4" w:space="1" w:color="auto"/>
                <w:right w:val="single" w:sz="4" w:space="4" w:color="auto"/>
              </w:pBdr>
              <w:rPr>
                <w:b/>
              </w:rPr>
            </w:pPr>
            <w:r>
              <w:rPr>
                <w:b/>
              </w:rPr>
              <w:t>High School</w:t>
            </w:r>
          </w:p>
          <w:p w:rsidR="00CC6DDC" w:rsidRDefault="00CC6DDC" w:rsidP="00CC6DDC">
            <w:pPr>
              <w:pBdr>
                <w:left w:val="single" w:sz="4" w:space="1" w:color="auto"/>
                <w:right w:val="single" w:sz="4" w:space="4" w:color="auto"/>
              </w:pBdr>
              <w:rPr>
                <w:b/>
              </w:rPr>
            </w:pPr>
          </w:p>
        </w:tc>
      </w:tr>
      <w:tr w:rsidR="00CC6DDC">
        <w:tc>
          <w:tcPr>
            <w:tcW w:w="4788" w:type="dxa"/>
          </w:tcPr>
          <w:p w:rsidR="00CC6DDC" w:rsidRDefault="00CC6DDC" w:rsidP="00CC6DDC">
            <w:pPr>
              <w:pBdr>
                <w:left w:val="single" w:sz="4" w:space="1" w:color="auto"/>
                <w:right w:val="single" w:sz="4" w:space="4" w:color="auto"/>
              </w:pBdr>
            </w:pPr>
            <w:r>
              <w:t>Grade</w:t>
            </w:r>
          </w:p>
          <w:p w:rsidR="00CC6DDC" w:rsidRDefault="00CC6DDC" w:rsidP="00CC6DDC">
            <w:pPr>
              <w:pBdr>
                <w:left w:val="single" w:sz="4" w:space="1" w:color="auto"/>
                <w:right w:val="single" w:sz="4" w:space="4" w:color="auto"/>
              </w:pBdr>
              <w:rPr>
                <w:b/>
              </w:rPr>
            </w:pPr>
          </w:p>
        </w:tc>
        <w:tc>
          <w:tcPr>
            <w:tcW w:w="4788" w:type="dxa"/>
            <w:tcBorders>
              <w:right w:val="single" w:sz="4" w:space="0" w:color="auto"/>
            </w:tcBorders>
          </w:tcPr>
          <w:p w:rsidR="00CC6DDC" w:rsidRDefault="00CC6DDC" w:rsidP="00CC6DDC">
            <w:pPr>
              <w:pBdr>
                <w:left w:val="single" w:sz="4" w:space="1" w:color="auto"/>
                <w:right w:val="single" w:sz="4" w:space="4" w:color="auto"/>
              </w:pBdr>
            </w:pPr>
            <w:r>
              <w:t>Conceptual Category</w:t>
            </w:r>
          </w:p>
          <w:p w:rsidR="00CC6DDC" w:rsidRDefault="00CC6DDC" w:rsidP="00CC6DDC">
            <w:pPr>
              <w:pBdr>
                <w:left w:val="single" w:sz="4" w:space="1" w:color="auto"/>
                <w:right w:val="single" w:sz="4" w:space="4" w:color="auto"/>
              </w:pBdr>
              <w:rPr>
                <w:b/>
              </w:rPr>
            </w:pPr>
          </w:p>
        </w:tc>
      </w:tr>
      <w:tr w:rsidR="00CC6DDC">
        <w:tc>
          <w:tcPr>
            <w:tcW w:w="4788" w:type="dxa"/>
          </w:tcPr>
          <w:p w:rsidR="00CC6DDC" w:rsidRDefault="00CC6DDC" w:rsidP="00CC6DDC">
            <w:pPr>
              <w:pBdr>
                <w:left w:val="single" w:sz="4" w:space="1" w:color="auto"/>
                <w:right w:val="single" w:sz="4" w:space="4" w:color="auto"/>
              </w:pBdr>
            </w:pPr>
            <w:r>
              <w:tab/>
              <w:t>Domain</w:t>
            </w:r>
          </w:p>
          <w:p w:rsidR="00CC6DDC" w:rsidRDefault="00CC6DDC" w:rsidP="00CC6DDC">
            <w:pPr>
              <w:pBdr>
                <w:left w:val="single" w:sz="4" w:space="1" w:color="auto"/>
                <w:right w:val="single" w:sz="4" w:space="4" w:color="auto"/>
              </w:pBdr>
              <w:rPr>
                <w:b/>
              </w:rPr>
            </w:pPr>
          </w:p>
        </w:tc>
        <w:tc>
          <w:tcPr>
            <w:tcW w:w="4788" w:type="dxa"/>
            <w:tcBorders>
              <w:right w:val="single" w:sz="4" w:space="0" w:color="auto"/>
            </w:tcBorders>
          </w:tcPr>
          <w:p w:rsidR="00CC6DDC" w:rsidRDefault="00CC6DDC" w:rsidP="00CC6DDC">
            <w:pPr>
              <w:pBdr>
                <w:left w:val="single" w:sz="4" w:space="1" w:color="auto"/>
                <w:right w:val="single" w:sz="4" w:space="4" w:color="auto"/>
              </w:pBdr>
            </w:pPr>
            <w:r>
              <w:tab/>
              <w:t>Domain</w:t>
            </w:r>
          </w:p>
          <w:p w:rsidR="00CC6DDC" w:rsidRDefault="00CC6DDC" w:rsidP="00CC6DDC">
            <w:pPr>
              <w:pBdr>
                <w:left w:val="single" w:sz="4" w:space="1" w:color="auto"/>
                <w:right w:val="single" w:sz="4" w:space="4" w:color="auto"/>
              </w:pBdr>
              <w:rPr>
                <w:b/>
              </w:rPr>
            </w:pPr>
          </w:p>
        </w:tc>
      </w:tr>
      <w:tr w:rsidR="00CC6DDC">
        <w:tc>
          <w:tcPr>
            <w:tcW w:w="4788" w:type="dxa"/>
          </w:tcPr>
          <w:p w:rsidR="00CC6DDC" w:rsidRDefault="00CC6DDC" w:rsidP="00CC6DDC">
            <w:pPr>
              <w:pBdr>
                <w:left w:val="single" w:sz="4" w:space="1" w:color="auto"/>
                <w:right w:val="single" w:sz="4" w:space="4" w:color="auto"/>
              </w:pBdr>
            </w:pPr>
            <w:r>
              <w:tab/>
            </w:r>
            <w:r>
              <w:tab/>
              <w:t>Cluster</w:t>
            </w:r>
          </w:p>
          <w:p w:rsidR="00CC6DDC" w:rsidRDefault="00CC6DDC" w:rsidP="00CC6DDC">
            <w:pPr>
              <w:pBdr>
                <w:left w:val="single" w:sz="4" w:space="1" w:color="auto"/>
                <w:right w:val="single" w:sz="4" w:space="4" w:color="auto"/>
              </w:pBdr>
              <w:rPr>
                <w:b/>
              </w:rPr>
            </w:pPr>
          </w:p>
        </w:tc>
        <w:tc>
          <w:tcPr>
            <w:tcW w:w="4788" w:type="dxa"/>
            <w:tcBorders>
              <w:right w:val="single" w:sz="4" w:space="0" w:color="auto"/>
            </w:tcBorders>
          </w:tcPr>
          <w:p w:rsidR="00CC6DDC" w:rsidRDefault="00CC6DDC" w:rsidP="00CC6DDC">
            <w:pPr>
              <w:pBdr>
                <w:left w:val="single" w:sz="4" w:space="1" w:color="auto"/>
                <w:right w:val="single" w:sz="4" w:space="4" w:color="auto"/>
              </w:pBdr>
            </w:pPr>
            <w:r>
              <w:tab/>
            </w:r>
            <w:r>
              <w:tab/>
              <w:t>Cluster</w:t>
            </w:r>
          </w:p>
          <w:p w:rsidR="00CC6DDC" w:rsidRDefault="00CC6DDC" w:rsidP="00CC6DDC">
            <w:pPr>
              <w:pBdr>
                <w:left w:val="single" w:sz="4" w:space="1" w:color="auto"/>
                <w:right w:val="single" w:sz="4" w:space="4" w:color="auto"/>
              </w:pBdr>
              <w:rPr>
                <w:b/>
              </w:rPr>
            </w:pPr>
          </w:p>
        </w:tc>
      </w:tr>
      <w:tr w:rsidR="00CC6DDC">
        <w:tc>
          <w:tcPr>
            <w:tcW w:w="4788" w:type="dxa"/>
            <w:tcBorders>
              <w:bottom w:val="single" w:sz="4" w:space="0" w:color="auto"/>
            </w:tcBorders>
          </w:tcPr>
          <w:p w:rsidR="00CC6DDC" w:rsidRDefault="00CC6DDC" w:rsidP="00CC6DDC">
            <w:pPr>
              <w:pBdr>
                <w:left w:val="single" w:sz="4" w:space="1" w:color="auto"/>
                <w:right w:val="single" w:sz="4" w:space="4" w:color="auto"/>
              </w:pBdr>
            </w:pPr>
            <w:r>
              <w:tab/>
            </w:r>
            <w:r>
              <w:tab/>
            </w:r>
            <w:r>
              <w:tab/>
              <w:t>Standards</w:t>
            </w:r>
          </w:p>
          <w:p w:rsidR="00CC6DDC" w:rsidRDefault="00CC6DDC" w:rsidP="00CC6DDC">
            <w:pPr>
              <w:pBdr>
                <w:left w:val="single" w:sz="4" w:space="1" w:color="auto"/>
                <w:right w:val="single" w:sz="4" w:space="4" w:color="auto"/>
              </w:pBdr>
              <w:rPr>
                <w:b/>
              </w:rPr>
            </w:pPr>
          </w:p>
        </w:tc>
        <w:tc>
          <w:tcPr>
            <w:tcW w:w="4788" w:type="dxa"/>
            <w:tcBorders>
              <w:bottom w:val="single" w:sz="4" w:space="0" w:color="auto"/>
              <w:right w:val="single" w:sz="4" w:space="0" w:color="auto"/>
            </w:tcBorders>
          </w:tcPr>
          <w:p w:rsidR="00CC6DDC" w:rsidRPr="00E17DFE" w:rsidRDefault="00CC6DDC" w:rsidP="00CC6DDC">
            <w:pPr>
              <w:pBdr>
                <w:left w:val="single" w:sz="4" w:space="1" w:color="auto"/>
                <w:right w:val="single" w:sz="4" w:space="4" w:color="auto"/>
              </w:pBdr>
            </w:pPr>
            <w:r>
              <w:tab/>
            </w:r>
            <w:r>
              <w:tab/>
            </w:r>
            <w:r>
              <w:tab/>
              <w:t>Standards</w:t>
            </w:r>
          </w:p>
          <w:p w:rsidR="00CC6DDC" w:rsidRDefault="00CC6DDC" w:rsidP="00CC6DDC">
            <w:pPr>
              <w:pBdr>
                <w:left w:val="single" w:sz="4" w:space="1" w:color="auto"/>
                <w:right w:val="single" w:sz="4" w:space="4" w:color="auto"/>
              </w:pBdr>
              <w:rPr>
                <w:b/>
              </w:rPr>
            </w:pPr>
          </w:p>
        </w:tc>
      </w:tr>
    </w:tbl>
    <w:p w:rsidR="00CC6DDC" w:rsidRDefault="00CC6DDC" w:rsidP="00CC6DDC">
      <w:pPr>
        <w:spacing w:line="240" w:lineRule="auto"/>
        <w:rPr>
          <w:b/>
        </w:rPr>
      </w:pPr>
    </w:p>
    <w:p w:rsidR="00CC6DDC" w:rsidRPr="000479E2" w:rsidRDefault="00CC6DDC" w:rsidP="00CC6DDC">
      <w:pPr>
        <w:spacing w:line="240" w:lineRule="auto"/>
      </w:pPr>
      <w:r>
        <w:rPr>
          <w:b/>
        </w:rPr>
        <w:t xml:space="preserve">Domains </w:t>
      </w:r>
      <w:r w:rsidRPr="00CC6DDC">
        <w:t xml:space="preserve">are large groups of related standards. Standards from different domains may sometimes be closely related. Look for the name with the code number on it for a </w:t>
      </w:r>
      <w:r>
        <w:t>d</w:t>
      </w:r>
      <w:r w:rsidRPr="00CC6DDC">
        <w:t>omain.</w:t>
      </w:r>
      <w:r>
        <w:rPr>
          <w:b/>
        </w:rPr>
        <w:t xml:space="preserve"> Clusters </w:t>
      </w:r>
      <w:r w:rsidRPr="00CC6DDC">
        <w:t>are groups</w:t>
      </w:r>
      <w:r>
        <w:rPr>
          <w:b/>
        </w:rPr>
        <w:t xml:space="preserve"> </w:t>
      </w:r>
      <w:r w:rsidRPr="00CC6DDC">
        <w:t>of related standards. Standards from different clusters may sometimes be closely related because mathematics is a connected subject. Clusters appear inside domains.</w:t>
      </w:r>
      <w:r>
        <w:rPr>
          <w:b/>
        </w:rPr>
        <w:t xml:space="preserve">  </w:t>
      </w:r>
      <w:r w:rsidR="000479E2">
        <w:rPr>
          <w:b/>
        </w:rPr>
        <w:t xml:space="preserve">Standards </w:t>
      </w:r>
      <w:r w:rsidR="000479E2">
        <w:t>define what students should be able to understand and be able to do – part of a cluster.</w:t>
      </w:r>
    </w:p>
    <w:p w:rsidR="007A4251" w:rsidRDefault="00E17DFE" w:rsidP="00CC6DDC">
      <w:pPr>
        <w:spacing w:line="240" w:lineRule="auto"/>
        <w:rPr>
          <w:b/>
        </w:rPr>
      </w:pPr>
      <w:r>
        <w:rPr>
          <w:b/>
        </w:rPr>
        <w:tab/>
      </w:r>
    </w:p>
    <w:p w:rsidR="00CC6DDC" w:rsidRPr="00E17DFE" w:rsidRDefault="00CC6DDC"/>
    <w:sectPr w:rsidR="00CC6DDC" w:rsidRPr="00E17DFE" w:rsidSect="00CC6DDC">
      <w:type w:val="continuous"/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7A4251"/>
    <w:rsid w:val="000479E2"/>
    <w:rsid w:val="00132063"/>
    <w:rsid w:val="00153E2B"/>
    <w:rsid w:val="00187B80"/>
    <w:rsid w:val="001E2C0C"/>
    <w:rsid w:val="0038156B"/>
    <w:rsid w:val="005F09CA"/>
    <w:rsid w:val="0063707E"/>
    <w:rsid w:val="00646F87"/>
    <w:rsid w:val="007A4251"/>
    <w:rsid w:val="009B66CA"/>
    <w:rsid w:val="00B5415B"/>
    <w:rsid w:val="00B64B63"/>
    <w:rsid w:val="00BC74A0"/>
    <w:rsid w:val="00C94D40"/>
    <w:rsid w:val="00CC6DDC"/>
    <w:rsid w:val="00DE65D1"/>
    <w:rsid w:val="00E17DFE"/>
    <w:rsid w:val="00E755AD"/>
    <w:rsid w:val="00E77522"/>
    <w:rsid w:val="00F82391"/>
    <w:rsid w:val="00FD09BB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4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C6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CC6DDC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C6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D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1410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Department of Education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RMARTEN</dc:creator>
  <cp:keywords/>
  <dc:description/>
  <cp:lastModifiedBy>Agency Staff</cp:lastModifiedBy>
  <cp:revision>2</cp:revision>
  <dcterms:created xsi:type="dcterms:W3CDTF">2011-01-19T13:47:00Z</dcterms:created>
  <dcterms:modified xsi:type="dcterms:W3CDTF">2011-01-19T13:47:00Z</dcterms:modified>
</cp:coreProperties>
</file>